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CDD01" w14:textId="77777777" w:rsidR="003C4C1E" w:rsidRPr="00187CE0" w:rsidRDefault="003C4C1E" w:rsidP="00187CE0">
      <w:pPr>
        <w:spacing w:line="480" w:lineRule="auto"/>
        <w:rPr>
          <w:rFonts w:ascii="Times New Roman" w:hAnsi="Times New Roman" w:cs="Times New Roman"/>
          <w:b/>
          <w:sz w:val="24"/>
          <w:szCs w:val="24"/>
        </w:rPr>
      </w:pPr>
      <w:r w:rsidRPr="00187CE0">
        <w:rPr>
          <w:rFonts w:ascii="Times New Roman" w:hAnsi="Times New Roman" w:cs="Times New Roman"/>
          <w:b/>
          <w:sz w:val="24"/>
          <w:szCs w:val="24"/>
        </w:rPr>
        <w:t>Replying to Andrew Mullins</w:t>
      </w:r>
    </w:p>
    <w:p w14:paraId="1FB72B62" w14:textId="546AC3B2" w:rsidR="003C4C1E" w:rsidRDefault="003C4C1E" w:rsidP="00187CE0">
      <w:pPr>
        <w:spacing w:line="480" w:lineRule="auto"/>
        <w:rPr>
          <w:rFonts w:ascii="Times New Roman" w:hAnsi="Times New Roman" w:cs="Times New Roman"/>
          <w:sz w:val="24"/>
          <w:szCs w:val="24"/>
        </w:rPr>
      </w:pPr>
      <w:r>
        <w:rPr>
          <w:rFonts w:ascii="Times New Roman" w:hAnsi="Times New Roman" w:cs="Times New Roman"/>
          <w:sz w:val="24"/>
          <w:szCs w:val="24"/>
        </w:rPr>
        <w:t>A landscaping business has a variety of long term assets depending on the specific work one is running. I would add trucks and trailers as some of the examples of long term assets used in the landscaping business. I agree that the straight-line depreciation is the best method to use. This is because it requires the net cost to be divided in to equal amounts over the useful years of the equipment since they are used on a regular basis. It is okay to use different types of depreciation for the two assets. The seed drill is well classified in the production of unit’s depreciation since the assets lifespan is calculated whereby it leans more on by far how much it can produce than its life span. In this case, the depreciation of the seed drill will be calculated on how much seed it can produce during its life span. In your discussion I have learnt that as much as the depreciation has an impact on the financial statements, it also shows how money is accounted for. It is therefore important to make a smart purchase which will take long to depreciate hence the longer understanding of how the money is accounted for.</w:t>
      </w:r>
      <w:r w:rsidR="004A37B0">
        <w:rPr>
          <w:rFonts w:ascii="Times New Roman" w:hAnsi="Times New Roman" w:cs="Times New Roman"/>
          <w:sz w:val="24"/>
          <w:szCs w:val="24"/>
        </w:rPr>
        <w:t xml:space="preserve"> </w:t>
      </w:r>
      <w:bookmarkStart w:id="0" w:name="_GoBack"/>
      <w:bookmarkEnd w:id="0"/>
      <w:r w:rsidR="004A37B0">
        <w:rPr>
          <w:rFonts w:ascii="Times New Roman" w:hAnsi="Times New Roman" w:cs="Times New Roman"/>
          <w:sz w:val="24"/>
          <w:szCs w:val="24"/>
        </w:rPr>
        <w:t>This was a very interesting and educative discussion.</w:t>
      </w:r>
    </w:p>
    <w:p w14:paraId="5FD75576" w14:textId="77777777" w:rsidR="003C4C1E" w:rsidRDefault="003C4C1E" w:rsidP="00187CE0">
      <w:pPr>
        <w:spacing w:line="480" w:lineRule="auto"/>
      </w:pPr>
    </w:p>
    <w:sectPr w:rsidR="003C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C1E"/>
    <w:rsid w:val="00187CE0"/>
    <w:rsid w:val="003C4C1E"/>
    <w:rsid w:val="004A3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DA050"/>
  <w15:chartTrackingRefBased/>
  <w15:docId w15:val="{97E384FF-1D86-4589-9C09-CAC66388D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4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2018-05-14T05:29:00Z</dcterms:created>
  <dcterms:modified xsi:type="dcterms:W3CDTF">2018-05-14T06:39:00Z</dcterms:modified>
</cp:coreProperties>
</file>